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5" w:type="dxa"/>
        <w:tblInd w:w="-252" w:type="dxa"/>
        <w:tblLook w:val="01E0" w:firstRow="1" w:lastRow="1" w:firstColumn="1" w:lastColumn="1" w:noHBand="0" w:noVBand="0"/>
      </w:tblPr>
      <w:tblGrid>
        <w:gridCol w:w="4675"/>
        <w:gridCol w:w="5260"/>
      </w:tblGrid>
      <w:tr w:rsidR="00213B21" w:rsidTr="00C76165">
        <w:tc>
          <w:tcPr>
            <w:tcW w:w="9935" w:type="dxa"/>
            <w:gridSpan w:val="2"/>
          </w:tcPr>
          <w:p w:rsidR="00213B21" w:rsidRDefault="00213B21" w:rsidP="00C76165"/>
        </w:tc>
      </w:tr>
      <w:tr w:rsidR="00213B21" w:rsidRPr="00960CAE" w:rsidTr="00C76165">
        <w:tc>
          <w:tcPr>
            <w:tcW w:w="9935" w:type="dxa"/>
            <w:gridSpan w:val="2"/>
          </w:tcPr>
          <w:p w:rsidR="00213B21" w:rsidRPr="00960CAE" w:rsidRDefault="00213B21" w:rsidP="00C76165">
            <w:pPr>
              <w:pStyle w:val="11"/>
              <w:rPr>
                <w:lang w:val="it-IT"/>
              </w:rPr>
            </w:pPr>
          </w:p>
        </w:tc>
      </w:tr>
      <w:tr w:rsidR="00213B21" w:rsidRPr="00115122" w:rsidTr="00C76165">
        <w:tc>
          <w:tcPr>
            <w:tcW w:w="4675" w:type="dxa"/>
          </w:tcPr>
          <w:p w:rsidR="00213B21" w:rsidRPr="00115122" w:rsidRDefault="00213B21" w:rsidP="00C76165">
            <w:pPr>
              <w:pStyle w:val="Normal1"/>
              <w:jc w:val="both"/>
              <w:rPr>
                <w:sz w:val="24"/>
                <w:szCs w:val="24"/>
              </w:rPr>
            </w:pPr>
          </w:p>
        </w:tc>
        <w:tc>
          <w:tcPr>
            <w:tcW w:w="5260" w:type="dxa"/>
          </w:tcPr>
          <w:p w:rsidR="00213B21" w:rsidRPr="00115122" w:rsidRDefault="00213B21" w:rsidP="00C76165">
            <w:pPr>
              <w:spacing w:line="240" w:lineRule="auto"/>
              <w:ind w:left="110" w:right="-105"/>
              <w:jc w:val="right"/>
              <w:rPr>
                <w:b/>
                <w:sz w:val="24"/>
              </w:rPr>
            </w:pPr>
          </w:p>
        </w:tc>
      </w:tr>
    </w:tbl>
    <w:p w:rsidR="00213B21" w:rsidRDefault="00213B21" w:rsidP="00213B21">
      <w:pPr>
        <w:pStyle w:val="a6"/>
      </w:pPr>
    </w:p>
    <w:p w:rsidR="008E3FE5" w:rsidRPr="008E3FE5" w:rsidRDefault="008E3FE5" w:rsidP="008E3FE5">
      <w:pPr>
        <w:pStyle w:val="a4"/>
      </w:pPr>
    </w:p>
    <w:p w:rsidR="00213B21" w:rsidRDefault="008E3FE5" w:rsidP="00213B21">
      <w:pPr>
        <w:pStyle w:val="a6"/>
      </w:pPr>
      <w:r>
        <w:t xml:space="preserve">Позиция </w:t>
      </w:r>
      <w:r w:rsidR="004A6679">
        <w:t>НП «Ассоциация Профессиональных Бухгалтеров Содружество»</w:t>
      </w:r>
      <w:r w:rsidR="004A6679">
        <w:t xml:space="preserve"> </w:t>
      </w:r>
      <w:bookmarkStart w:id="0" w:name="_GoBack"/>
      <w:bookmarkEnd w:id="0"/>
      <w:r>
        <w:t>о необходимости</w:t>
      </w:r>
      <w:r w:rsidR="00213B21" w:rsidRPr="00654087">
        <w:t xml:space="preserve"> детализаци</w:t>
      </w:r>
      <w:r>
        <w:t>и</w:t>
      </w:r>
      <w:r w:rsidR="00213B21" w:rsidRPr="00654087">
        <w:t xml:space="preserve"> существенных статей </w:t>
      </w:r>
      <w:r>
        <w:t>бухгалтерской отчетности</w:t>
      </w:r>
      <w:r w:rsidR="004A6679">
        <w:t>, начиная с отчетности</w:t>
      </w:r>
      <w:r>
        <w:t xml:space="preserve"> за 2011 год</w:t>
      </w:r>
      <w:r w:rsidR="00213B21" w:rsidRPr="00654087">
        <w:t>.</w:t>
      </w:r>
    </w:p>
    <w:p w:rsidR="001B7298" w:rsidRPr="001B7298" w:rsidRDefault="001B7298" w:rsidP="001B7298">
      <w:pPr>
        <w:pStyle w:val="a4"/>
      </w:pPr>
    </w:p>
    <w:p w:rsidR="00213B21" w:rsidRDefault="00213B21" w:rsidP="00213B21">
      <w:pPr>
        <w:pStyle w:val="a4"/>
      </w:pPr>
      <w:r w:rsidRPr="00654087">
        <w:t>Приказом Ми</w:t>
      </w:r>
      <w:r w:rsidR="008E3FE5">
        <w:t>нфина РФ от 02.07.2010 г. № 66н, утверждены рекомендованные формы бухгалтерской отчетности.</w:t>
      </w:r>
    </w:p>
    <w:p w:rsidR="008E3FE5" w:rsidRDefault="008E3FE5" w:rsidP="00213B21">
      <w:pPr>
        <w:pStyle w:val="a4"/>
      </w:pPr>
      <w:r>
        <w:t>Приведенные в Приказе формы сформированы по группам статей без детализации непосредственно по статьям отчетности.</w:t>
      </w:r>
    </w:p>
    <w:p w:rsidR="008E3FE5" w:rsidRPr="008E3FE5" w:rsidRDefault="00BF32FE" w:rsidP="008E3FE5">
      <w:pPr>
        <w:pStyle w:val="a4"/>
      </w:pPr>
      <w:r>
        <w:t xml:space="preserve">При этом в п. 3 Приказа оговорено, что </w:t>
      </w:r>
      <w:r w:rsidR="008E3FE5" w:rsidRPr="008E3FE5">
        <w:t xml:space="preserve">организации самостоятельно определяют детализацию показателей по статьям Баланса, Отчета о прибылях и убытках и расшифровок к ним. </w:t>
      </w:r>
    </w:p>
    <w:p w:rsidR="00213B21" w:rsidRPr="00654087" w:rsidRDefault="00213B21" w:rsidP="00213B21">
      <w:pPr>
        <w:pStyle w:val="a4"/>
      </w:pPr>
      <w:r w:rsidRPr="00654087">
        <w:t xml:space="preserve">В п. 20 Положения по бухгалтерскому учету </w:t>
      </w:r>
      <w:r>
        <w:t>«</w:t>
      </w:r>
      <w:r w:rsidRPr="00654087">
        <w:t>Бухгалтерская отчетность организации</w:t>
      </w:r>
      <w:r>
        <w:t>»</w:t>
      </w:r>
      <w:r w:rsidRPr="00654087">
        <w:t xml:space="preserve"> ПБУ 4/99, утвержденного Приказом Минфина РФ от 06.07.1999 г. № 43н, содержится перечень числовых показателей</w:t>
      </w:r>
      <w:r>
        <w:t>,</w:t>
      </w:r>
      <w:r w:rsidRPr="00654087">
        <w:t xml:space="preserve"> подлежащих отражению в Бухгалтерском балансе с учетом требований пунктов 6 и 11 данного Положения. В соответствии с данным перечнем, в частности, в группу статей </w:t>
      </w:r>
      <w:r>
        <w:t>«</w:t>
      </w:r>
      <w:r w:rsidRPr="00654087">
        <w:t>Запасы</w:t>
      </w:r>
      <w:r>
        <w:t>»</w:t>
      </w:r>
      <w:r w:rsidRPr="00654087">
        <w:t xml:space="preserve"> входят статьи </w:t>
      </w:r>
      <w:r>
        <w:t>«</w:t>
      </w:r>
      <w:r w:rsidRPr="00654087">
        <w:t>Сырье, материалы и другие аналогичные ценности</w:t>
      </w:r>
      <w:r>
        <w:t>»</w:t>
      </w:r>
      <w:r w:rsidRPr="00654087">
        <w:t xml:space="preserve">, </w:t>
      </w:r>
      <w:r>
        <w:t>«</w:t>
      </w:r>
      <w:r w:rsidRPr="00654087">
        <w:t>Затраты в незавершенном производстве (издержках обращения)</w:t>
      </w:r>
      <w:r>
        <w:t>»</w:t>
      </w:r>
      <w:r w:rsidRPr="00654087">
        <w:t xml:space="preserve">, </w:t>
      </w:r>
      <w:r>
        <w:t>«</w:t>
      </w:r>
      <w:r w:rsidRPr="00654087">
        <w:t>Готовая продукция, товары для перепродажи и товары отгруженные</w:t>
      </w:r>
      <w:r>
        <w:t>»</w:t>
      </w:r>
      <w:r w:rsidRPr="00654087">
        <w:t xml:space="preserve">, </w:t>
      </w:r>
      <w:r>
        <w:t>«</w:t>
      </w:r>
      <w:r w:rsidRPr="00654087">
        <w:t>Расходы будущих периодов</w:t>
      </w:r>
      <w:r>
        <w:t>»</w:t>
      </w:r>
      <w:r w:rsidRPr="00654087">
        <w:t>.</w:t>
      </w:r>
    </w:p>
    <w:p w:rsidR="00213B21" w:rsidRPr="00654087" w:rsidRDefault="00213B21" w:rsidP="00213B21">
      <w:pPr>
        <w:pStyle w:val="a4"/>
      </w:pPr>
      <w:r w:rsidRPr="00654087">
        <w:t>В соответствии с п. 11 ПБУ 4/99 показатели об отдельных активах, обязательствах, доходах, расходах и хозяйственных операциях должны приводиться в бухгалтерской отчетности обособленно</w:t>
      </w:r>
      <w:r>
        <w:t>,</w:t>
      </w:r>
      <w:r w:rsidRPr="00654087">
        <w:t xml:space="preserve"> в случае их существенности</w:t>
      </w:r>
      <w:r>
        <w:t>,</w:t>
      </w:r>
      <w:r w:rsidRPr="00654087">
        <w:t xml:space="preserve"> и если без знания о них заинтересованными пользователями невозможна оценка финансового положения организации или финансовых результатов ее деятельности.</w:t>
      </w:r>
    </w:p>
    <w:p w:rsidR="00213B21" w:rsidRPr="00654087" w:rsidRDefault="00213B21" w:rsidP="00213B21">
      <w:pPr>
        <w:pStyle w:val="a4"/>
      </w:pPr>
      <w:r w:rsidRPr="00654087">
        <w:t>Показатели об отдельных видах активов, обязательств, доходов, расходов и хозяйственных операций</w:t>
      </w:r>
      <w:r>
        <w:t>,</w:t>
      </w:r>
      <w:r w:rsidRPr="00654087">
        <w:t xml:space="preserve"> могут приводиться в бухгалтерском балансе или отчете о прибылях и убытках общей суммой с раскрытием в пояснениях к бухгалтерскому балансу и отчету о прибылях и убытках, если каждый из этих показателей в отдельности несущественен для оценки заинтересованными пользователями финансового положения организации или финансовых результатов ее деятельности.</w:t>
      </w:r>
    </w:p>
    <w:p w:rsidR="00213B21" w:rsidRPr="00654087" w:rsidRDefault="00213B21" w:rsidP="00213B21">
      <w:pPr>
        <w:pStyle w:val="a4"/>
      </w:pPr>
      <w:r w:rsidRPr="00654087">
        <w:t xml:space="preserve">Согласно Положению по бухгалтерскому учету </w:t>
      </w:r>
      <w:r>
        <w:t>«</w:t>
      </w:r>
      <w:r w:rsidRPr="00654087">
        <w:t>Доходы организации</w:t>
      </w:r>
      <w:r>
        <w:t>»</w:t>
      </w:r>
      <w:r w:rsidRPr="00654087">
        <w:t xml:space="preserve"> ПБУ 9/99, утвержденному Приказом Минфина РФ от 06.05.1999 г. № 32н:</w:t>
      </w:r>
    </w:p>
    <w:p w:rsidR="00213B21" w:rsidRPr="00654087" w:rsidRDefault="00213B21" w:rsidP="00213B21">
      <w:pPr>
        <w:pStyle w:val="a4"/>
      </w:pPr>
      <w:r w:rsidRPr="00654087">
        <w:t>п. 18. В отчете о прибылях и убытках доходы организации за отчетный период отражаются с подразделением на выручку и прочие доходы.</w:t>
      </w:r>
    </w:p>
    <w:p w:rsidR="00213B21" w:rsidRPr="00654087" w:rsidRDefault="00213B21" w:rsidP="00213B21">
      <w:pPr>
        <w:pStyle w:val="a4"/>
      </w:pPr>
      <w:r w:rsidRPr="00654087">
        <w:t>п. 18.1. Выручка, прочие доходы (выручка от продажи продукции (товаров), выручка от выполнения работ (оказания услуг) и т.п.), составляющие пять и более процентов от общей суммы доходов организации за отчетный период, показываются по каждому виду в отдельности.</w:t>
      </w:r>
    </w:p>
    <w:p w:rsidR="00213B21" w:rsidRPr="00654087" w:rsidRDefault="00213B21" w:rsidP="00213B21">
      <w:pPr>
        <w:pStyle w:val="a4"/>
      </w:pPr>
      <w:r w:rsidRPr="00654087">
        <w:t xml:space="preserve">В соответствии с п. 21.1 Положения по бухгалтерскому учету </w:t>
      </w:r>
      <w:r>
        <w:t>«</w:t>
      </w:r>
      <w:r w:rsidRPr="00654087">
        <w:t>Расходы организации</w:t>
      </w:r>
      <w:r>
        <w:t>»</w:t>
      </w:r>
      <w:r w:rsidRPr="00654087">
        <w:t xml:space="preserve"> ПБУ 10/99, утвержденному Приказом Минфина РФ от 06.05.1999 г. № 33н, в случае выделения в отчете о прибылях и убытках видов доходов, каждый из которых в отдельности составляет пять и более процентов от общей суммы доходов организации за отчетный год, в нем показывается соответствующая каждому виду часть расходов.</w:t>
      </w:r>
    </w:p>
    <w:p w:rsidR="00213B21" w:rsidRPr="00654087" w:rsidRDefault="00213B21" w:rsidP="00213B21">
      <w:pPr>
        <w:pStyle w:val="a4"/>
      </w:pPr>
      <w:r w:rsidRPr="00654087">
        <w:t xml:space="preserve">В соответствии с п. 6.2.1 Концепции бухгалтерского учета в рыночной экономике </w:t>
      </w:r>
      <w:r>
        <w:t>РФ</w:t>
      </w:r>
      <w:r w:rsidRPr="00654087">
        <w:t xml:space="preserve"> (одобрена Методологическим советом по бухгалтерскому учету при Минфине РФ и Президентским советом Института профессиональных бухгалтеров 27.12.1997 г.) существенной признается информация, отсутствие или неточность которой может повлиять на решения заинтересованных пользователей.</w:t>
      </w:r>
    </w:p>
    <w:p w:rsidR="00213B21" w:rsidRPr="001B7298" w:rsidRDefault="00213B21" w:rsidP="00213B21">
      <w:pPr>
        <w:pStyle w:val="a4"/>
        <w:rPr>
          <w:u w:val="single"/>
        </w:rPr>
      </w:pPr>
      <w:r w:rsidRPr="001B7298">
        <w:rPr>
          <w:u w:val="single"/>
        </w:rPr>
        <w:t xml:space="preserve">Из приведенных выше требований нормативных актов </w:t>
      </w:r>
      <w:r w:rsidR="001B7298" w:rsidRPr="001B7298">
        <w:rPr>
          <w:u w:val="single"/>
        </w:rPr>
        <w:t>аудиторы делают</w:t>
      </w:r>
      <w:r w:rsidRPr="001B7298">
        <w:rPr>
          <w:u w:val="single"/>
        </w:rPr>
        <w:t xml:space="preserve"> вывод, что детализацию информации, отражаемой в формах бухгалтерской отчетности, каждая организация выбирает самостоятельно исходя из установленных ею критериев существенности информации.</w:t>
      </w:r>
    </w:p>
    <w:p w:rsidR="001B7298" w:rsidRDefault="001B7298" w:rsidP="00213B21">
      <w:pPr>
        <w:pStyle w:val="a4"/>
      </w:pPr>
      <w:r>
        <w:t>При этом необходимо учитывать не только количественные, но и качественные критерии. В качестве качественных критериев детализации можно привести:</w:t>
      </w:r>
    </w:p>
    <w:p w:rsidR="001B7298" w:rsidRDefault="001B7298" w:rsidP="00213B21">
      <w:pPr>
        <w:pStyle w:val="a4"/>
      </w:pPr>
      <w:r>
        <w:lastRenderedPageBreak/>
        <w:t xml:space="preserve"> </w:t>
      </w:r>
      <w:r w:rsidRPr="001B7298">
        <w:rPr>
          <w:i/>
        </w:rPr>
        <w:t>Незавершенное строительство</w:t>
      </w:r>
      <w:r>
        <w:t xml:space="preserve"> – информация для пользователей об объеме инвестиционной деятельности предприятия должна раскрываться вне зависимости от количественного показателя существенности.</w:t>
      </w:r>
    </w:p>
    <w:p w:rsidR="001B7298" w:rsidRDefault="001B7298" w:rsidP="001B7298">
      <w:pPr>
        <w:pStyle w:val="a4"/>
      </w:pPr>
      <w:r>
        <w:t xml:space="preserve">Разделение дебиторской и кредиторской задолженности на </w:t>
      </w:r>
      <w:r w:rsidRPr="001B7298">
        <w:rPr>
          <w:i/>
        </w:rPr>
        <w:t>долгосрочную и краткосрочную</w:t>
      </w:r>
      <w:r>
        <w:t xml:space="preserve"> – информация необходима пользователям для понимания уровня ликвидности активов, должна раскрываться вне зависимости от количественного показателя существенности.</w:t>
      </w:r>
    </w:p>
    <w:p w:rsidR="001B7298" w:rsidRDefault="001B7298" w:rsidP="00213B21">
      <w:pPr>
        <w:pStyle w:val="a4"/>
      </w:pPr>
    </w:p>
    <w:p w:rsidR="001B7298" w:rsidRPr="001B7298" w:rsidRDefault="001B7298" w:rsidP="00213B21">
      <w:pPr>
        <w:pStyle w:val="a4"/>
        <w:rPr>
          <w:b/>
        </w:rPr>
      </w:pPr>
      <w:r w:rsidRPr="001B7298">
        <w:rPr>
          <w:b/>
        </w:rPr>
        <w:t>По мнению аудиторов, раскрытие информации необходимо осуществлять непосредственно в формах отчетности, вне зависимости от того, по какой форме принимает отчетность ФНС России.</w:t>
      </w:r>
    </w:p>
    <w:p w:rsidR="001B7298" w:rsidRDefault="001B7298" w:rsidP="00213B21">
      <w:pPr>
        <w:pStyle w:val="a4"/>
      </w:pPr>
    </w:p>
    <w:p w:rsidR="00213B21" w:rsidRPr="00654087" w:rsidRDefault="001B7298" w:rsidP="00213B21">
      <w:pPr>
        <w:pStyle w:val="a4"/>
      </w:pPr>
      <w:r>
        <w:t xml:space="preserve">Раскрытие существенной информации в приложениях к отчетности влечет за собой нарушение интересов пользователей публикуемой отчетности, поскольку не может обеспечить сопоставимость и преемственность финансовой информации. </w:t>
      </w:r>
      <w:r w:rsidR="00EB4EBE">
        <w:t>О чем аудиторы обязаны проинформировать пользователя в части, привлекающей внимание, при подготовке аудиторского заключения.</w:t>
      </w:r>
    </w:p>
    <w:p w:rsidR="00671FDC" w:rsidRDefault="004A6679"/>
    <w:sectPr w:rsidR="00671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70A78"/>
    <w:multiLevelType w:val="hybridMultilevel"/>
    <w:tmpl w:val="924AB5E4"/>
    <w:lvl w:ilvl="0" w:tplc="8D14BFC8">
      <w:start w:val="1"/>
      <w:numFmt w:val="bullet"/>
      <w:pStyle w:val="a"/>
      <w:lvlText w:val=""/>
      <w:lvlJc w:val="left"/>
      <w:pPr>
        <w:tabs>
          <w:tab w:val="num" w:pos="1281"/>
        </w:tabs>
        <w:ind w:left="12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B21"/>
    <w:rsid w:val="00001758"/>
    <w:rsid w:val="00002CA4"/>
    <w:rsid w:val="00004190"/>
    <w:rsid w:val="00005B5D"/>
    <w:rsid w:val="00011D46"/>
    <w:rsid w:val="00024D03"/>
    <w:rsid w:val="00032773"/>
    <w:rsid w:val="000370B3"/>
    <w:rsid w:val="00042972"/>
    <w:rsid w:val="00045CD2"/>
    <w:rsid w:val="00057B33"/>
    <w:rsid w:val="00073B07"/>
    <w:rsid w:val="0007794A"/>
    <w:rsid w:val="000B433D"/>
    <w:rsid w:val="000B79FE"/>
    <w:rsid w:val="000D3B42"/>
    <w:rsid w:val="000E1C69"/>
    <w:rsid w:val="001103C5"/>
    <w:rsid w:val="00115B6E"/>
    <w:rsid w:val="00124C93"/>
    <w:rsid w:val="00125D7A"/>
    <w:rsid w:val="00126271"/>
    <w:rsid w:val="00142FD6"/>
    <w:rsid w:val="001579C8"/>
    <w:rsid w:val="001631BD"/>
    <w:rsid w:val="00170E80"/>
    <w:rsid w:val="00171208"/>
    <w:rsid w:val="00173010"/>
    <w:rsid w:val="0017554B"/>
    <w:rsid w:val="001760C7"/>
    <w:rsid w:val="001A33F6"/>
    <w:rsid w:val="001A5567"/>
    <w:rsid w:val="001B7298"/>
    <w:rsid w:val="001D0035"/>
    <w:rsid w:val="001D04C7"/>
    <w:rsid w:val="001D3F44"/>
    <w:rsid w:val="001D70CA"/>
    <w:rsid w:val="001D7A03"/>
    <w:rsid w:val="001F25A4"/>
    <w:rsid w:val="001F5221"/>
    <w:rsid w:val="00207F7E"/>
    <w:rsid w:val="00213B21"/>
    <w:rsid w:val="002363D9"/>
    <w:rsid w:val="00242495"/>
    <w:rsid w:val="00245CF5"/>
    <w:rsid w:val="00246D53"/>
    <w:rsid w:val="00263713"/>
    <w:rsid w:val="00263B1C"/>
    <w:rsid w:val="0028451B"/>
    <w:rsid w:val="00286873"/>
    <w:rsid w:val="0029117C"/>
    <w:rsid w:val="002A7BF1"/>
    <w:rsid w:val="002B1C99"/>
    <w:rsid w:val="002C1F42"/>
    <w:rsid w:val="002C616D"/>
    <w:rsid w:val="002C6AB8"/>
    <w:rsid w:val="002E5B36"/>
    <w:rsid w:val="002F0ABE"/>
    <w:rsid w:val="002F4747"/>
    <w:rsid w:val="00305A46"/>
    <w:rsid w:val="003077B4"/>
    <w:rsid w:val="00307DB1"/>
    <w:rsid w:val="003137A3"/>
    <w:rsid w:val="003473E3"/>
    <w:rsid w:val="00352011"/>
    <w:rsid w:val="00355A8A"/>
    <w:rsid w:val="0036690D"/>
    <w:rsid w:val="00371704"/>
    <w:rsid w:val="00373503"/>
    <w:rsid w:val="00373A5E"/>
    <w:rsid w:val="00373CD4"/>
    <w:rsid w:val="00382E3E"/>
    <w:rsid w:val="003947B2"/>
    <w:rsid w:val="0039542E"/>
    <w:rsid w:val="00396C4B"/>
    <w:rsid w:val="00396E79"/>
    <w:rsid w:val="0039701A"/>
    <w:rsid w:val="003A0680"/>
    <w:rsid w:val="003B00EC"/>
    <w:rsid w:val="003B50A5"/>
    <w:rsid w:val="003B63C9"/>
    <w:rsid w:val="003C0AEF"/>
    <w:rsid w:val="003C19C9"/>
    <w:rsid w:val="003C4137"/>
    <w:rsid w:val="003D321C"/>
    <w:rsid w:val="003F24CC"/>
    <w:rsid w:val="0040505D"/>
    <w:rsid w:val="00412881"/>
    <w:rsid w:val="0041451C"/>
    <w:rsid w:val="00416836"/>
    <w:rsid w:val="00420EFA"/>
    <w:rsid w:val="004223AB"/>
    <w:rsid w:val="0042737D"/>
    <w:rsid w:val="00444540"/>
    <w:rsid w:val="00444884"/>
    <w:rsid w:val="00445900"/>
    <w:rsid w:val="00447391"/>
    <w:rsid w:val="00465B1E"/>
    <w:rsid w:val="00471156"/>
    <w:rsid w:val="004759A1"/>
    <w:rsid w:val="004814BF"/>
    <w:rsid w:val="004A5352"/>
    <w:rsid w:val="004A6679"/>
    <w:rsid w:val="004B171E"/>
    <w:rsid w:val="0050380A"/>
    <w:rsid w:val="00525B77"/>
    <w:rsid w:val="00526959"/>
    <w:rsid w:val="00530867"/>
    <w:rsid w:val="005412C7"/>
    <w:rsid w:val="00553285"/>
    <w:rsid w:val="00553836"/>
    <w:rsid w:val="005624B0"/>
    <w:rsid w:val="00570EC8"/>
    <w:rsid w:val="00573001"/>
    <w:rsid w:val="005774D2"/>
    <w:rsid w:val="0059157A"/>
    <w:rsid w:val="00592D5B"/>
    <w:rsid w:val="005963D1"/>
    <w:rsid w:val="00596CE4"/>
    <w:rsid w:val="00597EA4"/>
    <w:rsid w:val="005A05DE"/>
    <w:rsid w:val="005A2953"/>
    <w:rsid w:val="005B31C2"/>
    <w:rsid w:val="005D04D4"/>
    <w:rsid w:val="005D7DD1"/>
    <w:rsid w:val="005E102B"/>
    <w:rsid w:val="005E2635"/>
    <w:rsid w:val="005E3F46"/>
    <w:rsid w:val="005F3E16"/>
    <w:rsid w:val="00616673"/>
    <w:rsid w:val="00630CCD"/>
    <w:rsid w:val="0063333D"/>
    <w:rsid w:val="0063416B"/>
    <w:rsid w:val="00637E63"/>
    <w:rsid w:val="00642499"/>
    <w:rsid w:val="0066469A"/>
    <w:rsid w:val="00665E51"/>
    <w:rsid w:val="00671723"/>
    <w:rsid w:val="00675125"/>
    <w:rsid w:val="006761D4"/>
    <w:rsid w:val="00685BCB"/>
    <w:rsid w:val="00686ED4"/>
    <w:rsid w:val="006A0C94"/>
    <w:rsid w:val="006A5780"/>
    <w:rsid w:val="006C01B2"/>
    <w:rsid w:val="006C38BE"/>
    <w:rsid w:val="006C42AE"/>
    <w:rsid w:val="006D6159"/>
    <w:rsid w:val="006E7537"/>
    <w:rsid w:val="007008B0"/>
    <w:rsid w:val="007074EC"/>
    <w:rsid w:val="0071725C"/>
    <w:rsid w:val="00721E73"/>
    <w:rsid w:val="0073428F"/>
    <w:rsid w:val="007353DE"/>
    <w:rsid w:val="007454DB"/>
    <w:rsid w:val="007615D5"/>
    <w:rsid w:val="00770E9C"/>
    <w:rsid w:val="00772181"/>
    <w:rsid w:val="0077297D"/>
    <w:rsid w:val="00777CE1"/>
    <w:rsid w:val="00786C80"/>
    <w:rsid w:val="007C491F"/>
    <w:rsid w:val="007C4EE1"/>
    <w:rsid w:val="007C731B"/>
    <w:rsid w:val="007D1553"/>
    <w:rsid w:val="007D2607"/>
    <w:rsid w:val="007D42AA"/>
    <w:rsid w:val="007E015A"/>
    <w:rsid w:val="007E4A12"/>
    <w:rsid w:val="007E572E"/>
    <w:rsid w:val="00801634"/>
    <w:rsid w:val="00805EC9"/>
    <w:rsid w:val="008203AF"/>
    <w:rsid w:val="00823DDA"/>
    <w:rsid w:val="00823ECD"/>
    <w:rsid w:val="00832B2C"/>
    <w:rsid w:val="00834317"/>
    <w:rsid w:val="00834A16"/>
    <w:rsid w:val="00840814"/>
    <w:rsid w:val="008441C5"/>
    <w:rsid w:val="00852862"/>
    <w:rsid w:val="008607F6"/>
    <w:rsid w:val="0086690B"/>
    <w:rsid w:val="00876F65"/>
    <w:rsid w:val="00881153"/>
    <w:rsid w:val="00890402"/>
    <w:rsid w:val="008A5616"/>
    <w:rsid w:val="008B0A81"/>
    <w:rsid w:val="008B201C"/>
    <w:rsid w:val="008B683C"/>
    <w:rsid w:val="008C0C00"/>
    <w:rsid w:val="008C4F3B"/>
    <w:rsid w:val="008C7479"/>
    <w:rsid w:val="008D17EF"/>
    <w:rsid w:val="008E3FE5"/>
    <w:rsid w:val="008E531E"/>
    <w:rsid w:val="008F6FF4"/>
    <w:rsid w:val="00900200"/>
    <w:rsid w:val="00900DB5"/>
    <w:rsid w:val="00907FAA"/>
    <w:rsid w:val="0091698C"/>
    <w:rsid w:val="009204C0"/>
    <w:rsid w:val="009246B3"/>
    <w:rsid w:val="00930525"/>
    <w:rsid w:val="00932352"/>
    <w:rsid w:val="00937698"/>
    <w:rsid w:val="00951C81"/>
    <w:rsid w:val="00954625"/>
    <w:rsid w:val="00975487"/>
    <w:rsid w:val="00985DA7"/>
    <w:rsid w:val="0099490F"/>
    <w:rsid w:val="009A6888"/>
    <w:rsid w:val="009B25BA"/>
    <w:rsid w:val="009B55AA"/>
    <w:rsid w:val="009B7009"/>
    <w:rsid w:val="009B76FF"/>
    <w:rsid w:val="009C6F12"/>
    <w:rsid w:val="009E015A"/>
    <w:rsid w:val="009E51EE"/>
    <w:rsid w:val="009F3BE7"/>
    <w:rsid w:val="00A11BFB"/>
    <w:rsid w:val="00A225A6"/>
    <w:rsid w:val="00A24FD2"/>
    <w:rsid w:val="00A2789B"/>
    <w:rsid w:val="00A32B74"/>
    <w:rsid w:val="00A37D87"/>
    <w:rsid w:val="00A6567B"/>
    <w:rsid w:val="00A806FC"/>
    <w:rsid w:val="00A85326"/>
    <w:rsid w:val="00AA38CB"/>
    <w:rsid w:val="00AC2F63"/>
    <w:rsid w:val="00AC54A7"/>
    <w:rsid w:val="00AD190E"/>
    <w:rsid w:val="00AD6339"/>
    <w:rsid w:val="00AE5117"/>
    <w:rsid w:val="00AF37C2"/>
    <w:rsid w:val="00B016D8"/>
    <w:rsid w:val="00B065C7"/>
    <w:rsid w:val="00B11CB3"/>
    <w:rsid w:val="00B12DF9"/>
    <w:rsid w:val="00B22167"/>
    <w:rsid w:val="00B27613"/>
    <w:rsid w:val="00B277E5"/>
    <w:rsid w:val="00B46158"/>
    <w:rsid w:val="00B474BF"/>
    <w:rsid w:val="00B553D6"/>
    <w:rsid w:val="00B56458"/>
    <w:rsid w:val="00B811EF"/>
    <w:rsid w:val="00B956E8"/>
    <w:rsid w:val="00BB0D2F"/>
    <w:rsid w:val="00BC4966"/>
    <w:rsid w:val="00BC4D19"/>
    <w:rsid w:val="00BD2934"/>
    <w:rsid w:val="00BF32FE"/>
    <w:rsid w:val="00BF7532"/>
    <w:rsid w:val="00C050B2"/>
    <w:rsid w:val="00C05EA3"/>
    <w:rsid w:val="00C0755D"/>
    <w:rsid w:val="00C34CD9"/>
    <w:rsid w:val="00C36DC6"/>
    <w:rsid w:val="00C378B0"/>
    <w:rsid w:val="00C526AB"/>
    <w:rsid w:val="00C75240"/>
    <w:rsid w:val="00C76EE0"/>
    <w:rsid w:val="00CA0213"/>
    <w:rsid w:val="00CB6A06"/>
    <w:rsid w:val="00CC2879"/>
    <w:rsid w:val="00CD2D14"/>
    <w:rsid w:val="00CD749F"/>
    <w:rsid w:val="00D124A9"/>
    <w:rsid w:val="00D14732"/>
    <w:rsid w:val="00D25BB2"/>
    <w:rsid w:val="00D27AC2"/>
    <w:rsid w:val="00D32CE5"/>
    <w:rsid w:val="00D432EC"/>
    <w:rsid w:val="00D52A07"/>
    <w:rsid w:val="00D772C0"/>
    <w:rsid w:val="00D922CA"/>
    <w:rsid w:val="00DB1E85"/>
    <w:rsid w:val="00DB265D"/>
    <w:rsid w:val="00DC149B"/>
    <w:rsid w:val="00DC3208"/>
    <w:rsid w:val="00DE482D"/>
    <w:rsid w:val="00DF675D"/>
    <w:rsid w:val="00E009E4"/>
    <w:rsid w:val="00E06151"/>
    <w:rsid w:val="00E071CB"/>
    <w:rsid w:val="00E11CF2"/>
    <w:rsid w:val="00E13CD3"/>
    <w:rsid w:val="00E151CF"/>
    <w:rsid w:val="00E16E1D"/>
    <w:rsid w:val="00E179F7"/>
    <w:rsid w:val="00E349CE"/>
    <w:rsid w:val="00E46BB0"/>
    <w:rsid w:val="00E472D4"/>
    <w:rsid w:val="00E525AB"/>
    <w:rsid w:val="00E65513"/>
    <w:rsid w:val="00E66F7C"/>
    <w:rsid w:val="00E675E0"/>
    <w:rsid w:val="00E71308"/>
    <w:rsid w:val="00E8101D"/>
    <w:rsid w:val="00E90CFD"/>
    <w:rsid w:val="00E932F4"/>
    <w:rsid w:val="00E97443"/>
    <w:rsid w:val="00E97E6D"/>
    <w:rsid w:val="00EB033A"/>
    <w:rsid w:val="00EB0887"/>
    <w:rsid w:val="00EB4EBE"/>
    <w:rsid w:val="00EC41C9"/>
    <w:rsid w:val="00EC6C1D"/>
    <w:rsid w:val="00ED1232"/>
    <w:rsid w:val="00ED1524"/>
    <w:rsid w:val="00EE0354"/>
    <w:rsid w:val="00EE2944"/>
    <w:rsid w:val="00EE5793"/>
    <w:rsid w:val="00EF055F"/>
    <w:rsid w:val="00F00591"/>
    <w:rsid w:val="00F07741"/>
    <w:rsid w:val="00F11F65"/>
    <w:rsid w:val="00F16A38"/>
    <w:rsid w:val="00F55B95"/>
    <w:rsid w:val="00F6252F"/>
    <w:rsid w:val="00F66552"/>
    <w:rsid w:val="00F72351"/>
    <w:rsid w:val="00F72E76"/>
    <w:rsid w:val="00F8547B"/>
    <w:rsid w:val="00F974A3"/>
    <w:rsid w:val="00FA0D81"/>
    <w:rsid w:val="00FA770B"/>
    <w:rsid w:val="00FB0D0F"/>
    <w:rsid w:val="00FB226D"/>
    <w:rsid w:val="00FB5165"/>
    <w:rsid w:val="00FC3D89"/>
    <w:rsid w:val="00FD0BFF"/>
    <w:rsid w:val="00FE4796"/>
    <w:rsid w:val="00FE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ЦАК Партнер"/>
    <w:basedOn w:val="a0"/>
    <w:link w:val="a5"/>
    <w:autoRedefine/>
    <w:uiPriority w:val="99"/>
    <w:rsid w:val="00213B21"/>
    <w:pPr>
      <w:tabs>
        <w:tab w:val="right" w:pos="9638"/>
      </w:tabs>
      <w:spacing w:after="0" w:line="240" w:lineRule="auto"/>
      <w:ind w:firstLine="567"/>
      <w:jc w:val="both"/>
    </w:pPr>
    <w:rPr>
      <w:rFonts w:ascii="Times New Roman" w:eastAsia="Times New Roman" w:hAnsi="Times New Roman" w:cs="Arial"/>
      <w:szCs w:val="24"/>
      <w:lang w:eastAsia="ru-RU"/>
    </w:rPr>
  </w:style>
  <w:style w:type="character" w:customStyle="1" w:styleId="a5">
    <w:name w:val="ЦАК Партнер Знак Знак"/>
    <w:basedOn w:val="a1"/>
    <w:link w:val="a4"/>
    <w:uiPriority w:val="99"/>
    <w:locked/>
    <w:rsid w:val="00213B21"/>
    <w:rPr>
      <w:rFonts w:ascii="Times New Roman" w:eastAsia="Times New Roman" w:hAnsi="Times New Roman" w:cs="Arial"/>
      <w:szCs w:val="24"/>
      <w:lang w:eastAsia="ru-RU"/>
    </w:rPr>
  </w:style>
  <w:style w:type="paragraph" w:customStyle="1" w:styleId="a6">
    <w:name w:val="ЦАК Партнер (жирный)"/>
    <w:basedOn w:val="a0"/>
    <w:next w:val="a4"/>
    <w:link w:val="a7"/>
    <w:autoRedefine/>
    <w:uiPriority w:val="99"/>
    <w:rsid w:val="00213B2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7">
    <w:name w:val="ЦАК Партнер (жирный) Знак"/>
    <w:link w:val="a6"/>
    <w:uiPriority w:val="99"/>
    <w:locked/>
    <w:rsid w:val="00213B21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">
    <w:name w:val="Перечисление"/>
    <w:basedOn w:val="a4"/>
    <w:uiPriority w:val="99"/>
    <w:rsid w:val="00213B21"/>
    <w:pPr>
      <w:numPr>
        <w:numId w:val="1"/>
      </w:numPr>
    </w:pPr>
  </w:style>
  <w:style w:type="paragraph" w:customStyle="1" w:styleId="Normal1">
    <w:name w:val="Normal1"/>
    <w:rsid w:val="00213B2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Стиль 11 пт По центру"/>
    <w:basedOn w:val="a0"/>
    <w:autoRedefine/>
    <w:rsid w:val="00213B21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213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13B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ЦАК Партнер"/>
    <w:basedOn w:val="a0"/>
    <w:link w:val="a5"/>
    <w:autoRedefine/>
    <w:uiPriority w:val="99"/>
    <w:rsid w:val="00213B21"/>
    <w:pPr>
      <w:tabs>
        <w:tab w:val="right" w:pos="9638"/>
      </w:tabs>
      <w:spacing w:after="0" w:line="240" w:lineRule="auto"/>
      <w:ind w:firstLine="567"/>
      <w:jc w:val="both"/>
    </w:pPr>
    <w:rPr>
      <w:rFonts w:ascii="Times New Roman" w:eastAsia="Times New Roman" w:hAnsi="Times New Roman" w:cs="Arial"/>
      <w:szCs w:val="24"/>
      <w:lang w:eastAsia="ru-RU"/>
    </w:rPr>
  </w:style>
  <w:style w:type="character" w:customStyle="1" w:styleId="a5">
    <w:name w:val="ЦАК Партнер Знак Знак"/>
    <w:basedOn w:val="a1"/>
    <w:link w:val="a4"/>
    <w:uiPriority w:val="99"/>
    <w:locked/>
    <w:rsid w:val="00213B21"/>
    <w:rPr>
      <w:rFonts w:ascii="Times New Roman" w:eastAsia="Times New Roman" w:hAnsi="Times New Roman" w:cs="Arial"/>
      <w:szCs w:val="24"/>
      <w:lang w:eastAsia="ru-RU"/>
    </w:rPr>
  </w:style>
  <w:style w:type="paragraph" w:customStyle="1" w:styleId="a6">
    <w:name w:val="ЦАК Партнер (жирный)"/>
    <w:basedOn w:val="a0"/>
    <w:next w:val="a4"/>
    <w:link w:val="a7"/>
    <w:autoRedefine/>
    <w:uiPriority w:val="99"/>
    <w:rsid w:val="00213B2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7">
    <w:name w:val="ЦАК Партнер (жирный) Знак"/>
    <w:link w:val="a6"/>
    <w:uiPriority w:val="99"/>
    <w:locked/>
    <w:rsid w:val="00213B21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">
    <w:name w:val="Перечисление"/>
    <w:basedOn w:val="a4"/>
    <w:uiPriority w:val="99"/>
    <w:rsid w:val="00213B21"/>
    <w:pPr>
      <w:numPr>
        <w:numId w:val="1"/>
      </w:numPr>
    </w:pPr>
  </w:style>
  <w:style w:type="paragraph" w:customStyle="1" w:styleId="Normal1">
    <w:name w:val="Normal1"/>
    <w:rsid w:val="00213B2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Стиль 11 пт По центру"/>
    <w:basedOn w:val="a0"/>
    <w:autoRedefine/>
    <w:rsid w:val="00213B21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213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13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4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Манузина Наталья Владимировна</dc:creator>
  <cp:lastModifiedBy>Манузина Наталья Владимировна</cp:lastModifiedBy>
  <cp:revision>2</cp:revision>
  <dcterms:created xsi:type="dcterms:W3CDTF">2012-06-18T05:35:00Z</dcterms:created>
  <dcterms:modified xsi:type="dcterms:W3CDTF">2012-06-18T05:35:00Z</dcterms:modified>
</cp:coreProperties>
</file>